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2020年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eastAsia="zh-CN"/>
        </w:rPr>
        <w:t>柳州市红十字会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“谁主管谁负责”任务措施清单（主管部门）</w:t>
      </w:r>
    </w:p>
    <w:bookmarkEnd w:id="0"/>
    <w:tbl>
      <w:tblPr>
        <w:tblStyle w:val="3"/>
        <w:tblpPr w:leftFromText="181" w:rightFromText="181" w:vertAnchor="text" w:horzAnchor="page" w:tblpX="1379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柳州市红十字会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红十字会法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社会公众、全市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网络宣传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1.通过柳州市红十字会微信号推送红十字会法相关文章2次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蒋荣军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2611227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组织宣传活动发放资料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2.结合进公园开展核心业务知识、技能宣传，向市民发放资料2次；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3.结合主题日活动督促县区红十字会开展普法宣传工作1次。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救助救护部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熊欢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2627199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56FE0"/>
    <w:rsid w:val="616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2020-05-15T09:28:00Z</dcterms:created>
  <dc:creator>Administrator</dc:creator>
  <cp:lastModifiedBy>Administrator</cp:lastModifiedBy>
  <dcterms:modified xsi:type="dcterms:W3CDTF">2020-05-15T09:28:56Z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